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 2"/>
        <w:bidi w:val="0"/>
      </w:pPr>
      <w:r>
        <w:rPr>
          <w:rtl w:val="0"/>
        </w:rPr>
        <w:t>Forslag 2:</w:t>
      </w:r>
    </w:p>
    <w:p>
      <w:pPr>
        <w:pStyle w:val="Brødtekst"/>
        <w:bidi w:val="0"/>
      </w:pPr>
    </w:p>
    <w:p>
      <w:pPr>
        <w:pStyle w:val="Brødtekst"/>
        <w:rPr>
          <w:sz w:val="24"/>
          <w:szCs w:val="24"/>
        </w:rPr>
      </w:pPr>
    </w:p>
    <w:p>
      <w:pPr>
        <w:pStyle w:val="Brødtekst"/>
      </w:pPr>
      <w:r>
        <w:rPr>
          <w:sz w:val="24"/>
          <w:szCs w:val="24"/>
          <w:rtl w:val="0"/>
          <w:lang w:val="da-DK"/>
        </w:rPr>
        <w:t>Vendepunkter og Instrukt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rkurset til Vendepunkter samles i Vendepunkter Danmark i regi af Arbejdsgruppen Landsd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kkende Vendepunkter (ALV).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verskrift 2">
    <w:name w:val="Overskrift 2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